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A0" w:rsidRPr="00E002D0" w:rsidRDefault="00E002D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E002D0">
        <w:rPr>
          <w:rFonts w:ascii="Open Sans" w:eastAsia="Times New Roman" w:hAnsi="Open Sans" w:cs="Times New Roman"/>
          <w:b/>
          <w:color w:val="222222"/>
          <w:sz w:val="21"/>
          <w:szCs w:val="21"/>
        </w:rPr>
        <w:t>Kingsley Ogbeide</w:t>
      </w:r>
    </w:p>
    <w:p w:rsidR="00756DA0" w:rsidRPr="00756DA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Chapter 5: Problems 1, 5, 6, and 9</w:t>
      </w:r>
    </w:p>
    <w:p w:rsidR="00756DA0" w:rsidRDefault="00756DA0" w:rsidP="00756DA0">
      <w:pPr>
        <w:spacing w:line="240" w:lineRule="auto"/>
        <w:rPr>
          <w:rFonts w:ascii="Open Sans" w:eastAsia="Times New Roman" w:hAnsi="Open Sans" w:cs="Times New Roman"/>
          <w:color w:val="222222"/>
          <w:sz w:val="21"/>
          <w:szCs w:val="21"/>
        </w:rPr>
      </w:pPr>
      <w:r>
        <w:rPr>
          <w:rFonts w:ascii="Open Sans" w:eastAsia="Times New Roman" w:hAnsi="Open Sans" w:cs="Times New Roman"/>
          <w:color w:val="222222"/>
          <w:sz w:val="21"/>
          <w:szCs w:val="21"/>
        </w:rPr>
        <w:br/>
      </w: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 1)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</w:t>
      </w:r>
    </w:p>
    <w:p w:rsidR="00756DA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A) $66,000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B) S will then become $754.29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C) we can find K by using the regression line method and time series data or cross sectional data.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D) The potential weakness for this model is variable t because it is unknown.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</w:p>
    <w:p w:rsidR="00756DA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 xml:space="preserve">5) </w:t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2000 | 800 | x </w:t>
      </w:r>
      <w:proofErr w:type="spellStart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x</w:t>
      </w:r>
      <w:proofErr w:type="spellEnd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</w:t>
      </w:r>
      <w:proofErr w:type="spellStart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x</w:t>
      </w:r>
      <w:proofErr w:type="spellEnd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</w:t>
      </w:r>
      <w:proofErr w:type="spellStart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x</w:t>
      </w:r>
      <w:proofErr w:type="spellEnd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2001 925 x </w:t>
      </w:r>
      <w:proofErr w:type="spellStart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x</w:t>
      </w:r>
      <w:proofErr w:type="spellEnd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800 800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2002 900 x </w:t>
      </w:r>
      <w:proofErr w:type="spellStart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x</w:t>
      </w:r>
      <w:proofErr w:type="spellEnd"/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913 838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2003 1025 x 875 901 857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2004 1150 x 950 1013 907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2005 1160 960 1025 1136 980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2006 1200 1032 1112 1158 1034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2007 1150 1087 1170 1196 1084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2008 1270 1137 1170 1155 1104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2009 1290 1186 1207 1259 1154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2010 x 1214 1236 1287 1195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  <w:r w:rsidR="00E002D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</w:t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B) Five-year moving average = 141.9 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Three-year moving average = 78.6 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Exponential smoothing (w = .9) = 45.7 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Exponential smooth</w:t>
      </w:r>
      <w:r>
        <w:rPr>
          <w:rFonts w:ascii="Open Sans" w:eastAsia="Times New Roman" w:hAnsi="Open Sans" w:cs="Times New Roman"/>
          <w:color w:val="222222"/>
          <w:sz w:val="21"/>
          <w:szCs w:val="21"/>
        </w:rPr>
        <w:t>ing (w = .3) = 110.9</w:t>
      </w:r>
      <w:r>
        <w:rPr>
          <w:rFonts w:ascii="Open Sans" w:eastAsia="Times New Roman" w:hAnsi="Open Sans" w:cs="Times New Roman"/>
          <w:color w:val="222222"/>
          <w:sz w:val="21"/>
          <w:szCs w:val="21"/>
        </w:rPr>
        <w:br/>
      </w:r>
    </w:p>
    <w:p w:rsidR="00756DA0" w:rsidRPr="00E002D0" w:rsidRDefault="00756DA0" w:rsidP="00756DA0">
      <w:pPr>
        <w:spacing w:line="240" w:lineRule="auto"/>
        <w:rPr>
          <w:rFonts w:ascii="Open Sans" w:eastAsia="Times New Roman" w:hAnsi="Open Sans" w:cs="Times New Roman"/>
          <w:color w:val="222222"/>
          <w:sz w:val="21"/>
          <w:szCs w:val="21"/>
        </w:rPr>
      </w:pPr>
      <w:bookmarkStart w:id="0" w:name="_GoBack"/>
      <w:bookmarkEnd w:id="0"/>
      <w:r>
        <w:rPr>
          <w:rFonts w:ascii="Open Sans" w:eastAsia="Times New Roman" w:hAnsi="Open Sans" w:cs="Times New Roman"/>
          <w:color w:val="222222"/>
          <w:sz w:val="21"/>
          <w:szCs w:val="21"/>
        </w:rPr>
        <w:t xml:space="preserve">C) </w:t>
      </w:r>
      <w:proofErr w:type="gramStart"/>
      <w:r>
        <w:rPr>
          <w:rFonts w:ascii="Open Sans" w:eastAsia="Times New Roman" w:hAnsi="Open Sans" w:cs="Times New Roman"/>
          <w:color w:val="222222"/>
          <w:sz w:val="21"/>
          <w:szCs w:val="21"/>
        </w:rPr>
        <w:t>let</w:t>
      </w:r>
      <w:proofErr w:type="gramEnd"/>
      <w:r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use the exponential smoothing w=.9 because of the trending factor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</w:p>
    <w:p w:rsidR="00756DA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6)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A) In 2010 = 11450 units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B) I think Sales would go from 11450 to 1100, which is about 3.9% reduction/loss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 xml:space="preserve">C) </w:t>
      </w:r>
      <w:r>
        <w:rPr>
          <w:rFonts w:ascii="Open Sans" w:eastAsia="Times New Roman" w:hAnsi="Open Sans" w:cs="Times New Roman"/>
          <w:color w:val="222222"/>
          <w:sz w:val="21"/>
          <w:szCs w:val="21"/>
        </w:rPr>
        <w:t xml:space="preserve">I think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Sales would decrease from 11450 to 9650 which is about a 30% reduction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</w:p>
    <w:p w:rsidR="00756DA0" w:rsidRPr="00756DA0" w:rsidRDefault="00756DA0" w:rsidP="00756DA0">
      <w:pPr>
        <w:spacing w:line="240" w:lineRule="auto"/>
        <w:rPr>
          <w:rFonts w:ascii="Open Sans" w:eastAsia="Times New Roman" w:hAnsi="Open Sans" w:cs="Times New Roman"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9)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Quarter 1 winter / 8.267 mill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Quarter</w:t>
      </w:r>
    </w:p>
    <w:p w:rsidR="00756DA0" w:rsidRDefault="00756DA0" w:rsidP="00756DA0">
      <w:pPr>
        <w:spacing w:line="240" w:lineRule="auto"/>
        <w:rPr>
          <w:rFonts w:ascii="Open Sans" w:eastAsia="Times New Roman" w:hAnsi="Open Sans" w:cs="Times New Roman"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2 spring / 12.456 mill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Quarter 3 summer / 14.521 mill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  <w:t>Quarter 4 fall / 10.987 mill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Chapter 6: Problems 2, 7, 9, and 10</w:t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2.)</w:t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lastRenderedPageBreak/>
        <w:t xml:space="preserve"> </w:t>
      </w:r>
      <w:r w:rsidR="00E002D0" w:rsidRPr="00E002D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I think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One step that they could take is calculating how much the average dollar is worth compared to how much their product/services cost this will give them an estimate of how much th</w:t>
      </w:r>
      <w:r>
        <w:rPr>
          <w:rFonts w:ascii="Open Sans" w:eastAsia="Times New Roman" w:hAnsi="Open Sans" w:cs="Times New Roman"/>
          <w:color w:val="222222"/>
          <w:sz w:val="21"/>
          <w:szCs w:val="21"/>
        </w:rPr>
        <w:t xml:space="preserve">ey will profit or how much they </w:t>
      </w:r>
      <w:r w:rsidR="00E002D0" w:rsidRPr="00756DA0">
        <w:rPr>
          <w:rFonts w:ascii="Open Sans" w:eastAsia="Times New Roman" w:hAnsi="Open Sans" w:cs="Times New Roman"/>
          <w:color w:val="222222"/>
          <w:sz w:val="21"/>
          <w:szCs w:val="21"/>
        </w:rPr>
        <w:t>lose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. </w:t>
      </w:r>
      <w:r w:rsidR="00E002D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Another thing they can do is to 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make future investments in stocks, bonds, assets that could possibly help cover their losses, or they can even accept money from other countries as well.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7)</w:t>
      </w:r>
      <w:r w:rsidR="00E002D0">
        <w:rPr>
          <w:rFonts w:ascii="Open Sans" w:eastAsia="Times New Roman" w:hAnsi="Open Sans" w:cs="Times New Roman"/>
          <w:b/>
          <w:color w:val="222222"/>
          <w:sz w:val="21"/>
          <w:szCs w:val="21"/>
        </w:rPr>
        <w:t xml:space="preserve"> </w:t>
      </w:r>
    </w:p>
    <w:p w:rsidR="00E002D0" w:rsidRDefault="00E002D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E002D0">
        <w:rPr>
          <w:rFonts w:ascii="Open Sans" w:eastAsia="Times New Roman" w:hAnsi="Open Sans" w:cs="Times New Roman"/>
          <w:color w:val="222222"/>
          <w:sz w:val="21"/>
          <w:szCs w:val="21"/>
        </w:rPr>
        <w:t>Now</w:t>
      </w:r>
      <w:r>
        <w:rPr>
          <w:rFonts w:ascii="Open Sans" w:eastAsia="Times New Roman" w:hAnsi="Open Sans" w:cs="Times New Roman"/>
          <w:b/>
          <w:color w:val="222222"/>
          <w:sz w:val="21"/>
          <w:szCs w:val="21"/>
        </w:rPr>
        <w:t xml:space="preserve"> </w:t>
      </w:r>
      <w:r>
        <w:rPr>
          <w:rFonts w:ascii="Open Sans" w:eastAsia="Times New Roman" w:hAnsi="Open Sans" w:cs="Times New Roman"/>
          <w:color w:val="222222"/>
          <w:sz w:val="21"/>
          <w:szCs w:val="21"/>
        </w:rPr>
        <w:t>i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>n</w:t>
      </w:r>
      <w:r w:rsidR="00756DA0"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this case, the Japanese Yen decreases in value which will increase their cost significantly. Their cost could jump upwards to 30%. In return, Boeing profit will increase because the Yen is no longer worth as much, and is now cheaper to purchase with foreign currencies.</w:t>
      </w:r>
      <w:r w:rsidR="00756DA0"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9)</w:t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</w:t>
      </w:r>
      <w:r w:rsidR="00E002D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I think </w:t>
      </w:r>
      <w:r w:rsidR="00E002D0" w:rsidRPr="00756DA0">
        <w:rPr>
          <w:rFonts w:ascii="Open Sans" w:eastAsia="Times New Roman" w:hAnsi="Open Sans" w:cs="Times New Roman"/>
          <w:color w:val="222222"/>
          <w:sz w:val="21"/>
          <w:szCs w:val="21"/>
        </w:rPr>
        <w:t>some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countries will enjoy an absolute trade advantage based on the real terms of trade. Spain and Portugal will become more competitive than Greece.</w:t>
      </w: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br/>
      </w:r>
    </w:p>
    <w:p w:rsidR="00E002D0" w:rsidRDefault="00756DA0" w:rsidP="00756DA0">
      <w:pPr>
        <w:spacing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b/>
          <w:color w:val="222222"/>
          <w:sz w:val="21"/>
          <w:szCs w:val="21"/>
        </w:rPr>
        <w:t>10)</w:t>
      </w:r>
    </w:p>
    <w:p w:rsidR="00756DA0" w:rsidRPr="00756DA0" w:rsidRDefault="00756DA0" w:rsidP="00756DA0">
      <w:pPr>
        <w:spacing w:line="240" w:lineRule="auto"/>
        <w:rPr>
          <w:rFonts w:ascii="Open Sans" w:eastAsia="Times New Roman" w:hAnsi="Open Sans" w:cs="Times New Roman"/>
          <w:color w:val="222222"/>
          <w:sz w:val="21"/>
          <w:szCs w:val="21"/>
        </w:rPr>
      </w:pPr>
      <w:r w:rsidRPr="00756DA0">
        <w:rPr>
          <w:rFonts w:ascii="Open Sans" w:eastAsia="Times New Roman" w:hAnsi="Open Sans" w:cs="Times New Roman"/>
          <w:color w:val="222222"/>
          <w:sz w:val="21"/>
          <w:szCs w:val="21"/>
        </w:rPr>
        <w:t xml:space="preserve"> Three factors are value at risk, free trade area, and parallel imports.</w:t>
      </w:r>
    </w:p>
    <w:p w:rsidR="000443B4" w:rsidRDefault="00E002D0"/>
    <w:sectPr w:rsidR="0004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A0"/>
    <w:rsid w:val="00435D70"/>
    <w:rsid w:val="00756DA0"/>
    <w:rsid w:val="00E002D0"/>
    <w:rsid w:val="00E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4698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2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150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21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558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99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397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664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2054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989213">
              <w:marLeft w:val="0"/>
              <w:marRight w:val="0"/>
              <w:marTop w:val="0"/>
              <w:marBottom w:val="0"/>
              <w:divBdr>
                <w:top w:val="single" w:sz="18" w:space="0" w:color="208CB9"/>
                <w:left w:val="none" w:sz="0" w:space="0" w:color="auto"/>
                <w:bottom w:val="single" w:sz="6" w:space="0" w:color="E9E9E9"/>
                <w:right w:val="none" w:sz="0" w:space="0" w:color="auto"/>
              </w:divBdr>
              <w:divsChild>
                <w:div w:id="1053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8637">
              <w:marLeft w:val="0"/>
              <w:marRight w:val="0"/>
              <w:marTop w:val="495"/>
              <w:marBottom w:val="0"/>
              <w:divBdr>
                <w:top w:val="single" w:sz="6" w:space="11" w:color="DEDEDE"/>
                <w:left w:val="single" w:sz="6" w:space="19" w:color="DEDEDE"/>
                <w:bottom w:val="single" w:sz="6" w:space="11" w:color="DEDEDE"/>
                <w:right w:val="single" w:sz="6" w:space="19" w:color="DEDEDE"/>
              </w:divBdr>
              <w:divsChild>
                <w:div w:id="4643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981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619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2662">
                  <w:marLeft w:val="-42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</w:div>
              </w:divsChild>
            </w:div>
            <w:div w:id="41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152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00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618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4" w:color="E3E1E1"/>
                            <w:left w:val="none" w:sz="0" w:space="0" w:color="auto"/>
                            <w:bottom w:val="single" w:sz="6" w:space="5" w:color="E3E1E1"/>
                            <w:right w:val="none" w:sz="0" w:space="0" w:color="auto"/>
                          </w:divBdr>
                        </w:div>
                        <w:div w:id="17104494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753912">
                  <w:marLeft w:val="0"/>
                  <w:marRight w:val="0"/>
                  <w:marTop w:val="0"/>
                  <w:marBottom w:val="0"/>
                  <w:divBdr>
                    <w:top w:val="single" w:sz="6" w:space="19" w:color="D6D6D6"/>
                    <w:left w:val="single" w:sz="6" w:space="19" w:color="D6D6D6"/>
                    <w:bottom w:val="single" w:sz="6" w:space="19" w:color="D6D6D6"/>
                    <w:right w:val="single" w:sz="6" w:space="19" w:color="D6D6D6"/>
                  </w:divBdr>
                </w:div>
                <w:div w:id="1925676909">
                  <w:marLeft w:val="0"/>
                  <w:marRight w:val="0"/>
                  <w:marTop w:val="0"/>
                  <w:marBottom w:val="0"/>
                  <w:divBdr>
                    <w:top w:val="single" w:sz="6" w:space="19" w:color="D6D6D6"/>
                    <w:left w:val="single" w:sz="6" w:space="19" w:color="D6D6D6"/>
                    <w:bottom w:val="single" w:sz="6" w:space="19" w:color="D6D6D6"/>
                    <w:right w:val="single" w:sz="6" w:space="19" w:color="D6D6D6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single" w:sz="6" w:space="19" w:color="D6D6D6"/>
                    <w:left w:val="single" w:sz="6" w:space="19" w:color="D6D6D6"/>
                    <w:bottom w:val="single" w:sz="6" w:space="19" w:color="D6D6D6"/>
                    <w:right w:val="single" w:sz="6" w:space="19" w:color="D6D6D6"/>
                  </w:divBdr>
                </w:div>
              </w:divsChild>
            </w:div>
            <w:div w:id="4000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4659">
                  <w:marLeft w:val="-10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7744">
              <w:marLeft w:val="0"/>
              <w:marRight w:val="0"/>
              <w:marTop w:val="0"/>
              <w:marBottom w:val="0"/>
              <w:divBdr>
                <w:top w:val="single" w:sz="12" w:space="0" w:color="F3F3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652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DDDDD"/>
                      </w:divBdr>
                    </w:div>
                    <w:div w:id="1854612003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DDDDD"/>
                      </w:divBdr>
                    </w:div>
                    <w:div w:id="148015082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DDDDD"/>
                      </w:divBdr>
                    </w:div>
                    <w:div w:id="136144949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DELL-330</dc:creator>
  <cp:lastModifiedBy>DELL-330</cp:lastModifiedBy>
  <cp:revision>1</cp:revision>
  <dcterms:created xsi:type="dcterms:W3CDTF">2013-07-22T02:26:00Z</dcterms:created>
  <dcterms:modified xsi:type="dcterms:W3CDTF">2013-07-22T02:43:00Z</dcterms:modified>
</cp:coreProperties>
</file>